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DD" w:rsidRPr="00667024" w:rsidRDefault="005144DD" w:rsidP="005144DD">
      <w:pPr>
        <w:spacing w:line="560" w:lineRule="exact"/>
        <w:rPr>
          <w:rFonts w:ascii="宋体" w:eastAsia="方正楷体简体" w:hAnsi="宋体"/>
          <w:color w:val="FF0000"/>
          <w:sz w:val="32"/>
          <w:szCs w:val="32"/>
          <w:lang w:val="en-US"/>
        </w:rPr>
      </w:pPr>
      <w:r w:rsidRPr="00667024">
        <w:rPr>
          <w:rFonts w:ascii="宋体" w:eastAsia="方正黑体简体" w:hAnsi="宋体" w:cs="方正黑体简体" w:hint="eastAsia"/>
          <w:sz w:val="32"/>
          <w:szCs w:val="32"/>
          <w:lang w:val="en-US"/>
        </w:rPr>
        <w:t>附件</w:t>
      </w:r>
    </w:p>
    <w:p w:rsidR="005144DD" w:rsidRPr="00667024" w:rsidRDefault="005144DD" w:rsidP="005144DD">
      <w:pPr>
        <w:spacing w:line="560" w:lineRule="exact"/>
        <w:jc w:val="center"/>
        <w:rPr>
          <w:rFonts w:ascii="宋体" w:eastAsia="方正小标宋简体" w:hAnsi="宋体" w:cs="方正小标宋简体"/>
          <w:sz w:val="44"/>
          <w:szCs w:val="44"/>
          <w:lang w:val="en-US"/>
        </w:rPr>
      </w:pPr>
      <w:r w:rsidRPr="00667024">
        <w:rPr>
          <w:rFonts w:ascii="宋体" w:eastAsia="方正小标宋简体" w:hAnsi="宋体" w:cs="方正小标宋简体" w:hint="eastAsia"/>
          <w:sz w:val="44"/>
          <w:szCs w:val="44"/>
          <w:lang w:val="en-US"/>
        </w:rPr>
        <w:t>网络和数据安全风险隐患排查表</w:t>
      </w:r>
    </w:p>
    <w:p w:rsidR="005144DD" w:rsidRPr="00667024" w:rsidRDefault="005144DD" w:rsidP="005144DD">
      <w:pPr>
        <w:spacing w:line="560" w:lineRule="exact"/>
        <w:rPr>
          <w:rFonts w:ascii="宋体" w:hAnsi="宋体"/>
        </w:rPr>
      </w:pPr>
    </w:p>
    <w:tbl>
      <w:tblPr>
        <w:tblStyle w:val="a7"/>
        <w:tblW w:w="0" w:type="auto"/>
        <w:jc w:val="center"/>
        <w:tblLook w:val="04A0" w:firstRow="1" w:lastRow="0" w:firstColumn="1" w:lastColumn="0" w:noHBand="0" w:noVBand="1"/>
      </w:tblPr>
      <w:tblGrid>
        <w:gridCol w:w="704"/>
        <w:gridCol w:w="992"/>
        <w:gridCol w:w="5387"/>
        <w:gridCol w:w="2551"/>
        <w:gridCol w:w="3397"/>
      </w:tblGrid>
      <w:tr w:rsidR="005144DD" w:rsidRPr="00667024" w:rsidTr="00566A11">
        <w:trPr>
          <w:jc w:val="center"/>
        </w:trPr>
        <w:tc>
          <w:tcPr>
            <w:tcW w:w="704" w:type="dxa"/>
          </w:tcPr>
          <w:p w:rsidR="005144DD" w:rsidRPr="00667024" w:rsidRDefault="005144DD" w:rsidP="00566A11">
            <w:pPr>
              <w:jc w:val="center"/>
              <w:rPr>
                <w:rFonts w:ascii="宋体" w:eastAsia="方正黑体简体" w:hAnsi="宋体"/>
                <w:sz w:val="24"/>
                <w:szCs w:val="24"/>
              </w:rPr>
            </w:pPr>
            <w:r w:rsidRPr="00667024">
              <w:rPr>
                <w:rFonts w:ascii="宋体" w:eastAsia="方正黑体简体" w:hAnsi="宋体" w:hint="eastAsia"/>
                <w:sz w:val="24"/>
                <w:szCs w:val="24"/>
              </w:rPr>
              <w:t>序号</w:t>
            </w:r>
          </w:p>
        </w:tc>
        <w:tc>
          <w:tcPr>
            <w:tcW w:w="992" w:type="dxa"/>
          </w:tcPr>
          <w:p w:rsidR="005144DD" w:rsidRPr="00667024" w:rsidRDefault="005144DD" w:rsidP="00566A11">
            <w:pPr>
              <w:jc w:val="center"/>
              <w:rPr>
                <w:rFonts w:ascii="宋体" w:eastAsia="方正黑体简体" w:hAnsi="宋体"/>
                <w:sz w:val="24"/>
                <w:szCs w:val="24"/>
              </w:rPr>
            </w:pPr>
            <w:r w:rsidRPr="00667024">
              <w:rPr>
                <w:rFonts w:ascii="宋体" w:eastAsia="方正黑体简体" w:hAnsi="宋体" w:hint="eastAsia"/>
                <w:sz w:val="24"/>
                <w:szCs w:val="24"/>
              </w:rPr>
              <w:t>类别</w:t>
            </w:r>
          </w:p>
        </w:tc>
        <w:tc>
          <w:tcPr>
            <w:tcW w:w="5387" w:type="dxa"/>
          </w:tcPr>
          <w:p w:rsidR="005144DD" w:rsidRPr="00667024" w:rsidRDefault="005144DD" w:rsidP="00566A11">
            <w:pPr>
              <w:jc w:val="center"/>
              <w:rPr>
                <w:rFonts w:ascii="宋体" w:eastAsia="方正黑体简体" w:hAnsi="宋体"/>
                <w:sz w:val="24"/>
                <w:szCs w:val="24"/>
              </w:rPr>
            </w:pPr>
            <w:r w:rsidRPr="00667024">
              <w:rPr>
                <w:rFonts w:ascii="宋体" w:eastAsia="方正黑体简体" w:hAnsi="宋体" w:hint="eastAsia"/>
                <w:sz w:val="24"/>
                <w:szCs w:val="24"/>
              </w:rPr>
              <w:t>检查点</w:t>
            </w:r>
          </w:p>
        </w:tc>
        <w:tc>
          <w:tcPr>
            <w:tcW w:w="2551" w:type="dxa"/>
          </w:tcPr>
          <w:p w:rsidR="005144DD" w:rsidRPr="00667024" w:rsidRDefault="005144DD" w:rsidP="00566A11">
            <w:pPr>
              <w:jc w:val="center"/>
              <w:rPr>
                <w:rFonts w:ascii="宋体" w:eastAsia="方正黑体简体" w:hAnsi="宋体"/>
                <w:sz w:val="24"/>
                <w:szCs w:val="24"/>
              </w:rPr>
            </w:pPr>
            <w:r w:rsidRPr="00667024">
              <w:rPr>
                <w:rFonts w:ascii="宋体" w:eastAsia="方正黑体简体" w:hAnsi="宋体" w:hint="eastAsia"/>
                <w:sz w:val="24"/>
                <w:szCs w:val="24"/>
              </w:rPr>
              <w:t>自查情况</w:t>
            </w:r>
          </w:p>
        </w:tc>
        <w:tc>
          <w:tcPr>
            <w:tcW w:w="3397" w:type="dxa"/>
          </w:tcPr>
          <w:p w:rsidR="005144DD" w:rsidRPr="00667024" w:rsidRDefault="005144DD" w:rsidP="00566A11">
            <w:pPr>
              <w:jc w:val="center"/>
              <w:rPr>
                <w:rFonts w:ascii="宋体" w:eastAsia="方正黑体简体" w:hAnsi="宋体"/>
                <w:sz w:val="24"/>
                <w:szCs w:val="24"/>
              </w:rPr>
            </w:pPr>
            <w:r w:rsidRPr="00667024">
              <w:rPr>
                <w:rFonts w:ascii="宋体" w:eastAsia="方正黑体简体" w:hAnsi="宋体" w:hint="eastAsia"/>
                <w:sz w:val="24"/>
                <w:szCs w:val="24"/>
              </w:rPr>
              <w:t>备注（检查范围和检查方式）</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w:t>
            </w:r>
          </w:p>
        </w:tc>
        <w:tc>
          <w:tcPr>
            <w:tcW w:w="992" w:type="dxa"/>
            <w:vMerge w:val="restart"/>
            <w:vAlign w:val="center"/>
          </w:tcPr>
          <w:p w:rsidR="005144DD" w:rsidRPr="00667024" w:rsidRDefault="005144DD" w:rsidP="00566A11">
            <w:pPr>
              <w:jc w:val="center"/>
              <w:rPr>
                <w:rFonts w:ascii="宋体" w:eastAsia="方正仿宋简体" w:hAnsi="宋体"/>
              </w:rPr>
            </w:pPr>
            <w:r w:rsidRPr="00667024">
              <w:rPr>
                <w:rFonts w:ascii="宋体" w:eastAsia="方正仿宋简体" w:hAnsi="宋体" w:hint="eastAsia"/>
              </w:rPr>
              <w:t>安全</w:t>
            </w:r>
          </w:p>
          <w:p w:rsidR="005144DD" w:rsidRPr="00667024" w:rsidRDefault="005144DD" w:rsidP="00566A11">
            <w:pPr>
              <w:jc w:val="center"/>
              <w:rPr>
                <w:rFonts w:ascii="宋体" w:eastAsia="方正仿宋简体" w:hAnsi="宋体"/>
              </w:rPr>
            </w:pPr>
            <w:r w:rsidRPr="00667024">
              <w:rPr>
                <w:rFonts w:ascii="宋体" w:eastAsia="方正仿宋简体" w:hAnsi="宋体" w:hint="eastAsia"/>
              </w:rPr>
              <w:t>防护</w:t>
            </w:r>
          </w:p>
        </w:tc>
        <w:tc>
          <w:tcPr>
            <w:tcW w:w="5387" w:type="dxa"/>
            <w:vAlign w:val="center"/>
          </w:tcPr>
          <w:p w:rsidR="005144DD" w:rsidRPr="00667024" w:rsidRDefault="005144DD" w:rsidP="00566A11">
            <w:pPr>
              <w:widowControl/>
              <w:autoSpaceDE/>
              <w:autoSpaceDN/>
              <w:jc w:val="both"/>
              <w:rPr>
                <w:rFonts w:ascii="宋体" w:eastAsia="方正仿宋简体" w:hAnsi="宋体" w:cs="宋体"/>
                <w:color w:val="000000"/>
                <w:lang w:val="en-US" w:bidi="ar-SA"/>
              </w:rPr>
            </w:pPr>
            <w:r w:rsidRPr="00667024">
              <w:rPr>
                <w:rFonts w:ascii="宋体" w:eastAsia="方正仿宋简体" w:hAnsi="宋体" w:hint="eastAsia"/>
                <w:color w:val="000000"/>
              </w:rPr>
              <w:t>是否安装防恶意代码或防病毒产品，是否对恶意代码进行检测和清除，并及时进行病毒库的升级和更新</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检查范围：业务系统、办公终端</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2</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是否使用多层防护措施来确保网络安全，并进行合理化配置，如入侵检测系统、安全审计措施等</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3</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w:t>
            </w:r>
            <w:r>
              <w:rPr>
                <w:rFonts w:ascii="宋体" w:eastAsia="方正仿宋简体" w:hAnsi="宋体" w:hint="eastAsia"/>
              </w:rPr>
              <w:t>使用相关安全防护</w:t>
            </w:r>
            <w:r>
              <w:rPr>
                <w:rFonts w:ascii="宋体" w:eastAsia="方正仿宋简体" w:hAnsi="宋体"/>
              </w:rPr>
              <w:t>措施</w:t>
            </w:r>
            <w:r w:rsidRPr="00667024">
              <w:rPr>
                <w:rFonts w:ascii="宋体" w:eastAsia="方正仿宋简体" w:hAnsi="宋体" w:hint="eastAsia"/>
              </w:rPr>
              <w:t>，如防火墙、入侵检测等，并进行合理化配置</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4</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是否监控系统的网络流量，检查是否存在可疑网络连接和网络行为，并及时进行事件闭环处置</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w:t>
            </w:r>
            <w:r w:rsidRPr="00667024">
              <w:rPr>
                <w:rFonts w:ascii="宋体" w:eastAsia="方正仿宋简体" w:hAnsi="宋体" w:hint="eastAsia"/>
              </w:rPr>
              <w:t>/</w:t>
            </w:r>
            <w:r w:rsidRPr="00667024">
              <w:rPr>
                <w:rFonts w:ascii="宋体" w:eastAsia="方正仿宋简体" w:hAnsi="宋体" w:hint="eastAsia"/>
              </w:rPr>
              <w:t>业务系统、办公终端</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检查方式：人员访谈、工具检查</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hint="eastAsia"/>
                <w:sz w:val="24"/>
                <w:szCs w:val="24"/>
              </w:rPr>
              <w:t>5</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是否对登录的用户分配账户和权限，是否授予管理用户所需的最小权限，实现管理用户的权限分离</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检查方式：配置核验、文档查看</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6</w:t>
            </w:r>
          </w:p>
        </w:tc>
        <w:tc>
          <w:tcPr>
            <w:tcW w:w="992" w:type="dxa"/>
            <w:vMerge w:val="restart"/>
            <w:vAlign w:val="center"/>
          </w:tcPr>
          <w:p w:rsidR="005144DD" w:rsidRPr="00667024" w:rsidRDefault="005144DD" w:rsidP="00566A11">
            <w:pPr>
              <w:jc w:val="center"/>
              <w:rPr>
                <w:rFonts w:ascii="宋体" w:eastAsia="方正仿宋简体" w:hAnsi="宋体"/>
              </w:rPr>
            </w:pPr>
            <w:r w:rsidRPr="00667024">
              <w:rPr>
                <w:rFonts w:ascii="宋体" w:eastAsia="方正仿宋简体" w:hAnsi="宋体" w:hint="eastAsia"/>
              </w:rPr>
              <w:t>运维</w:t>
            </w:r>
          </w:p>
          <w:p w:rsidR="005144DD" w:rsidRPr="00667024" w:rsidRDefault="005144DD" w:rsidP="00566A11">
            <w:pPr>
              <w:jc w:val="center"/>
              <w:rPr>
                <w:rFonts w:ascii="宋体" w:eastAsia="方正仿宋简体" w:hAnsi="宋体"/>
              </w:rPr>
            </w:pPr>
            <w:r w:rsidRPr="00667024">
              <w:rPr>
                <w:rFonts w:ascii="宋体" w:eastAsia="方正仿宋简体" w:hAnsi="宋体" w:hint="eastAsia"/>
              </w:rPr>
              <w:t>管理</w:t>
            </w: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第三方运维人员</w:t>
            </w:r>
            <w:r>
              <w:rPr>
                <w:rFonts w:ascii="宋体" w:eastAsia="方正仿宋简体" w:hAnsi="宋体" w:hint="eastAsia"/>
              </w:rPr>
              <w:t>在</w:t>
            </w:r>
            <w:r w:rsidRPr="00667024">
              <w:rPr>
                <w:rFonts w:ascii="宋体" w:eastAsia="方正仿宋简体" w:hAnsi="宋体" w:hint="eastAsia"/>
              </w:rPr>
              <w:t>运维操作前是否进行授权审批确认，是否有远程运维，是否采用安全的措施开展远程运维</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检查方式：人员访谈、文档查看</w:t>
            </w:r>
          </w:p>
          <w:p w:rsidR="005144DD" w:rsidRPr="00667024" w:rsidRDefault="005144DD" w:rsidP="00566A11">
            <w:pPr>
              <w:rPr>
                <w:rFonts w:ascii="宋体" w:eastAsia="方正仿宋简体" w:hAnsi="宋体"/>
              </w:rPr>
            </w:pPr>
            <w:r w:rsidRPr="00667024">
              <w:rPr>
                <w:rFonts w:ascii="宋体" w:eastAsia="方正仿宋简体" w:hAnsi="宋体" w:hint="eastAsia"/>
              </w:rPr>
              <w:t>、配置核验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7</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是否及时对操作系统补丁进行升级</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8</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是否配置和使用安全的密码规则</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9</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是否针对密码策略时长进行有效期限制，并禁止弱口令和共享密码</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lastRenderedPageBreak/>
              <w:t>10</w:t>
            </w:r>
          </w:p>
        </w:tc>
        <w:tc>
          <w:tcPr>
            <w:tcW w:w="992" w:type="dxa"/>
            <w:vMerge w:val="restart"/>
            <w:vAlign w:val="center"/>
          </w:tcPr>
          <w:p w:rsidR="005144DD" w:rsidRPr="00667024" w:rsidRDefault="005144DD" w:rsidP="00566A11">
            <w:pPr>
              <w:jc w:val="center"/>
              <w:rPr>
                <w:rFonts w:ascii="宋体" w:eastAsia="方正仿宋简体" w:hAnsi="宋体"/>
              </w:rPr>
            </w:pPr>
            <w:r w:rsidRPr="00667024">
              <w:rPr>
                <w:rFonts w:ascii="宋体" w:eastAsia="方正仿宋简体" w:hAnsi="宋体" w:hint="eastAsia"/>
              </w:rPr>
              <w:t>运维</w:t>
            </w:r>
          </w:p>
          <w:p w:rsidR="005144DD" w:rsidRPr="00667024" w:rsidRDefault="005144DD" w:rsidP="00566A11">
            <w:pPr>
              <w:jc w:val="center"/>
              <w:rPr>
                <w:rFonts w:ascii="宋体" w:eastAsia="方正仿宋简体" w:hAnsi="宋体"/>
              </w:rPr>
            </w:pPr>
            <w:r w:rsidRPr="00667024">
              <w:rPr>
                <w:rFonts w:ascii="宋体" w:eastAsia="方正仿宋简体" w:hAnsi="宋体" w:hint="eastAsia"/>
              </w:rPr>
              <w:t>管理</w:t>
            </w: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是否存在弱口令、默认口令、空口令</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11</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jc w:val="both"/>
              <w:rPr>
                <w:rFonts w:ascii="宋体" w:eastAsia="方正仿宋简体" w:hAnsi="宋体"/>
              </w:rPr>
            </w:pPr>
            <w:r w:rsidRPr="00667024">
              <w:rPr>
                <w:rFonts w:ascii="宋体" w:eastAsia="方正仿宋简体" w:hAnsi="宋体" w:hint="eastAsia"/>
              </w:rPr>
              <w:t>是否能发现可能存在的安全漏洞，</w:t>
            </w:r>
            <w:r w:rsidRPr="00667024">
              <w:rPr>
                <w:rFonts w:ascii="宋体" w:eastAsia="方正仿宋简体" w:hAnsi="宋体"/>
              </w:rPr>
              <w:t>并在经过充分测试评估后及时修补安全漏洞</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检查方式：人员访谈、工具检查</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12</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是否针对自身网络资产进行资产台账梳理识别，明确资产内容，如资产编号、终端、服务器</w:t>
            </w:r>
            <w:r w:rsidRPr="00667024">
              <w:rPr>
                <w:rFonts w:ascii="宋体" w:eastAsia="方正仿宋简体" w:hAnsi="宋体"/>
              </w:rPr>
              <w:t>/</w:t>
            </w:r>
            <w:r w:rsidRPr="00667024">
              <w:rPr>
                <w:rFonts w:ascii="宋体" w:eastAsia="方正仿宋简体" w:hAnsi="宋体"/>
              </w:rPr>
              <w:t>虚拟机等、</w:t>
            </w:r>
            <w:r w:rsidRPr="00667024">
              <w:rPr>
                <w:rFonts w:ascii="宋体" w:eastAsia="方正仿宋简体" w:hAnsi="宋体" w:cs="Times New Roman"/>
              </w:rPr>
              <w:t>IP</w:t>
            </w:r>
            <w:r w:rsidRPr="00667024">
              <w:rPr>
                <w:rFonts w:ascii="宋体" w:eastAsia="方正仿宋简体" w:hAnsi="宋体"/>
              </w:rPr>
              <w:t>、操作系统及版本、所属部门、责任人等</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检查方式：人员访谈、文档查看</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13</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是否建立巡检机制，定期检查</w:t>
            </w:r>
            <w:r w:rsidRPr="00667024">
              <w:rPr>
                <w:rFonts w:ascii="宋体" w:eastAsia="方正仿宋简体" w:hAnsi="宋体" w:cs="Times New Roman"/>
              </w:rPr>
              <w:t>CPU</w:t>
            </w:r>
            <w:r w:rsidRPr="00667024">
              <w:rPr>
                <w:rFonts w:ascii="宋体" w:eastAsia="方正仿宋简体" w:hAnsi="宋体"/>
              </w:rPr>
              <w:t>、内存使用率过高的情况，是否存在可疑启动项、服务启动、计划任务</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14</w:t>
            </w:r>
          </w:p>
        </w:tc>
        <w:tc>
          <w:tcPr>
            <w:tcW w:w="992" w:type="dxa"/>
            <w:vMerge w:val="restart"/>
            <w:vAlign w:val="center"/>
          </w:tcPr>
          <w:p w:rsidR="005144DD" w:rsidRPr="00667024" w:rsidRDefault="005144DD" w:rsidP="00566A11">
            <w:pPr>
              <w:jc w:val="center"/>
              <w:rPr>
                <w:rFonts w:ascii="宋体" w:eastAsia="方正仿宋简体" w:hAnsi="宋体"/>
              </w:rPr>
            </w:pPr>
            <w:r w:rsidRPr="00667024">
              <w:rPr>
                <w:rFonts w:ascii="宋体" w:eastAsia="方正仿宋简体" w:hAnsi="宋体" w:hint="eastAsia"/>
              </w:rPr>
              <w:t>策略</w:t>
            </w:r>
          </w:p>
          <w:p w:rsidR="005144DD" w:rsidRPr="00667024" w:rsidRDefault="005144DD" w:rsidP="00566A11">
            <w:pPr>
              <w:jc w:val="center"/>
              <w:rPr>
                <w:rFonts w:ascii="宋体" w:eastAsia="方正仿宋简体" w:hAnsi="宋体"/>
              </w:rPr>
            </w:pPr>
            <w:r w:rsidRPr="00667024">
              <w:rPr>
                <w:rFonts w:ascii="宋体" w:eastAsia="方正仿宋简体" w:hAnsi="宋体" w:hint="eastAsia"/>
              </w:rPr>
              <w:t>配置</w:t>
            </w: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是否通过防火墙等技术手段封禁非必要端口，如</w:t>
            </w:r>
            <w:r w:rsidRPr="00667024">
              <w:rPr>
                <w:rFonts w:ascii="宋体" w:eastAsia="方正仿宋简体" w:hAnsi="宋体" w:cs="Times New Roman"/>
              </w:rPr>
              <w:t>22</w:t>
            </w:r>
            <w:r w:rsidRPr="00667024">
              <w:rPr>
                <w:rFonts w:ascii="宋体" w:eastAsia="方正仿宋简体" w:hAnsi="宋体" w:cs="Times New Roman"/>
              </w:rPr>
              <w:t>、</w:t>
            </w:r>
            <w:r w:rsidRPr="00667024">
              <w:rPr>
                <w:rFonts w:ascii="宋体" w:eastAsia="方正仿宋简体" w:hAnsi="宋体" w:cs="Times New Roman"/>
              </w:rPr>
              <w:t>139</w:t>
            </w:r>
            <w:r w:rsidRPr="00667024">
              <w:rPr>
                <w:rFonts w:ascii="宋体" w:eastAsia="方正仿宋简体" w:hAnsi="宋体" w:cs="Times New Roman"/>
              </w:rPr>
              <w:t>、</w:t>
            </w:r>
            <w:r w:rsidRPr="00667024">
              <w:rPr>
                <w:rFonts w:ascii="宋体" w:eastAsia="方正仿宋简体" w:hAnsi="宋体" w:cs="Times New Roman"/>
              </w:rPr>
              <w:t>445</w:t>
            </w:r>
            <w:r w:rsidRPr="00667024">
              <w:rPr>
                <w:rFonts w:ascii="宋体" w:eastAsia="方正仿宋简体" w:hAnsi="宋体" w:cs="Times New Roman"/>
              </w:rPr>
              <w:t>、</w:t>
            </w:r>
            <w:r w:rsidRPr="00667024">
              <w:rPr>
                <w:rFonts w:ascii="宋体" w:eastAsia="方正仿宋简体" w:hAnsi="宋体" w:cs="Times New Roman"/>
              </w:rPr>
              <w:t>1433</w:t>
            </w:r>
            <w:r w:rsidRPr="00667024">
              <w:rPr>
                <w:rFonts w:ascii="宋体" w:eastAsia="方正仿宋简体" w:hAnsi="宋体" w:cs="Times New Roman"/>
              </w:rPr>
              <w:t>、</w:t>
            </w:r>
            <w:r w:rsidRPr="00667024">
              <w:rPr>
                <w:rFonts w:ascii="宋体" w:eastAsia="方正仿宋简体" w:hAnsi="宋体" w:cs="Times New Roman"/>
              </w:rPr>
              <w:t>3306</w:t>
            </w:r>
            <w:r w:rsidRPr="00667024">
              <w:rPr>
                <w:rFonts w:ascii="宋体" w:eastAsia="方正仿宋简体" w:hAnsi="宋体" w:cs="Times New Roman"/>
              </w:rPr>
              <w:t>、</w:t>
            </w:r>
            <w:r w:rsidRPr="00667024">
              <w:rPr>
                <w:rFonts w:ascii="宋体" w:eastAsia="方正仿宋简体" w:hAnsi="宋体" w:cs="Times New Roman"/>
              </w:rPr>
              <w:t>3389</w:t>
            </w:r>
            <w:r w:rsidRPr="00667024">
              <w:rPr>
                <w:rFonts w:ascii="宋体" w:eastAsia="方正仿宋简体" w:hAnsi="宋体" w:cs="Times New Roman"/>
              </w:rPr>
              <w:t>、</w:t>
            </w:r>
            <w:r w:rsidRPr="00667024">
              <w:rPr>
                <w:rFonts w:ascii="宋体" w:eastAsia="方正仿宋简体" w:hAnsi="宋体" w:cs="Times New Roman"/>
              </w:rPr>
              <w:t>6379</w:t>
            </w:r>
            <w:r w:rsidRPr="00667024">
              <w:rPr>
                <w:rFonts w:ascii="宋体" w:eastAsia="方正仿宋简体" w:hAnsi="宋体"/>
              </w:rPr>
              <w:t>等</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w:t>
            </w:r>
            <w:r w:rsidRPr="00667024">
              <w:rPr>
                <w:rFonts w:ascii="宋体" w:eastAsia="方正仿宋简体" w:hAnsi="宋体" w:hint="eastAsia"/>
              </w:rPr>
              <w:t>/</w:t>
            </w:r>
            <w:r w:rsidRPr="00667024">
              <w:rPr>
                <w:rFonts w:ascii="宋体" w:eastAsia="方正仿宋简体" w:hAnsi="宋体" w:hint="eastAsia"/>
              </w:rPr>
              <w:t>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15</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互联网区与政务外网区是否采取网闸等措施进行有效物理隔离，业务系统内部是否按照建设要求对不同的网络区域进行有效逻辑隔离</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检查方式：人员访谈、配置核验</w:t>
            </w:r>
          </w:p>
          <w:p w:rsidR="005144DD" w:rsidRPr="00667024" w:rsidRDefault="005144DD" w:rsidP="00566A11">
            <w:pPr>
              <w:rPr>
                <w:rFonts w:ascii="宋体" w:eastAsia="方正仿宋简体" w:hAnsi="宋体"/>
              </w:rPr>
            </w:pPr>
            <w:r w:rsidRPr="00667024">
              <w:rPr>
                <w:rFonts w:ascii="宋体" w:eastAsia="方正仿宋简体" w:hAnsi="宋体" w:hint="eastAsia"/>
              </w:rPr>
              <w:t>、文档查看</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16</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安全设备是否更新为最新版本，避免发生安全设备漏洞利用</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检查范围：云平台、业务系统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jc w:val="center"/>
              <w:rPr>
                <w:rFonts w:ascii="宋体" w:hAnsi="宋体" w:cs="Times New Roman"/>
                <w:sz w:val="24"/>
                <w:szCs w:val="24"/>
              </w:rPr>
            </w:pPr>
            <w:r w:rsidRPr="00667024">
              <w:rPr>
                <w:rFonts w:ascii="宋体" w:hAnsi="宋体" w:cs="Times New Roman"/>
                <w:sz w:val="24"/>
                <w:szCs w:val="24"/>
              </w:rPr>
              <w:t>17</w:t>
            </w:r>
          </w:p>
        </w:tc>
        <w:tc>
          <w:tcPr>
            <w:tcW w:w="992" w:type="dxa"/>
            <w:vMerge/>
            <w:vAlign w:val="center"/>
          </w:tcPr>
          <w:p w:rsidR="005144DD" w:rsidRPr="00667024" w:rsidRDefault="005144DD" w:rsidP="00566A11">
            <w:pPr>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是否存在不合理的远程桌面服务</w:t>
            </w:r>
          </w:p>
        </w:tc>
        <w:tc>
          <w:tcPr>
            <w:tcW w:w="2551" w:type="dxa"/>
            <w:vAlign w:val="center"/>
          </w:tcPr>
          <w:p w:rsidR="005144DD" w:rsidRPr="00667024" w:rsidRDefault="005144DD" w:rsidP="00566A11">
            <w:pPr>
              <w:jc w:val="center"/>
              <w:rPr>
                <w:rFonts w:ascii="宋体" w:hAnsi="宋体"/>
              </w:rPr>
            </w:pPr>
          </w:p>
        </w:tc>
        <w:tc>
          <w:tcPr>
            <w:tcW w:w="3397" w:type="dxa"/>
            <w:vAlign w:val="center"/>
          </w:tcPr>
          <w:p w:rsidR="005144DD" w:rsidRPr="00667024" w:rsidRDefault="005144DD" w:rsidP="00566A11">
            <w:pPr>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rPr>
                <w:rFonts w:ascii="宋体" w:eastAsia="方正仿宋简体" w:hAnsi="宋体"/>
              </w:rPr>
            </w:pPr>
            <w:r w:rsidRPr="00667024">
              <w:rPr>
                <w:rFonts w:ascii="宋体" w:eastAsia="方正仿宋简体" w:hAnsi="宋体" w:hint="eastAsia"/>
              </w:rPr>
              <w:t>检查方式：配置核验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18</w:t>
            </w:r>
          </w:p>
        </w:tc>
        <w:tc>
          <w:tcPr>
            <w:tcW w:w="992" w:type="dxa"/>
            <w:vMerge w:val="restart"/>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数据</w:t>
            </w:r>
          </w:p>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安全</w:t>
            </w: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是否提供重要数据的本地数据备份与恢复功能，是否开展数据恢复有效性验证</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19</w:t>
            </w:r>
          </w:p>
        </w:tc>
        <w:tc>
          <w:tcPr>
            <w:tcW w:w="992" w:type="dxa"/>
            <w:vMerge/>
            <w:vAlign w:val="center"/>
          </w:tcPr>
          <w:p w:rsidR="005144DD" w:rsidRPr="00667024" w:rsidRDefault="005144DD" w:rsidP="00566A11">
            <w:pPr>
              <w:autoSpaceDE/>
              <w:autoSpaceDN/>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是否开启记录并审计系统事件日志</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检查范围：业务系统（数据库）</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20</w:t>
            </w:r>
          </w:p>
        </w:tc>
        <w:tc>
          <w:tcPr>
            <w:tcW w:w="992" w:type="dxa"/>
            <w:vMerge/>
            <w:vAlign w:val="center"/>
          </w:tcPr>
          <w:p w:rsidR="005144DD" w:rsidRPr="00667024" w:rsidRDefault="005144DD" w:rsidP="00566A11">
            <w:pPr>
              <w:autoSpaceDE/>
              <w:autoSpaceDN/>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审计日志、数据库日志等日志留存是否不少于六个月</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检查范围：业务系统（数据库）</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21</w:t>
            </w:r>
          </w:p>
        </w:tc>
        <w:tc>
          <w:tcPr>
            <w:tcW w:w="992" w:type="dxa"/>
            <w:vMerge/>
            <w:vAlign w:val="center"/>
          </w:tcPr>
          <w:p w:rsidR="005144DD" w:rsidRPr="00667024" w:rsidRDefault="005144DD" w:rsidP="00566A11">
            <w:pPr>
              <w:autoSpaceDE/>
              <w:autoSpaceDN/>
              <w:jc w:val="center"/>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是否限制数据库远程连接方式或</w:t>
            </w:r>
            <w:r w:rsidRPr="00667024">
              <w:rPr>
                <w:rFonts w:ascii="宋体" w:eastAsia="方正仿宋简体" w:hAnsi="宋体" w:hint="eastAsia"/>
              </w:rPr>
              <w:t>IP</w:t>
            </w:r>
            <w:r w:rsidRPr="00667024">
              <w:rPr>
                <w:rFonts w:ascii="宋体" w:eastAsia="方正仿宋简体" w:hAnsi="宋体" w:hint="eastAsia"/>
              </w:rPr>
              <w:t>地址</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检查范围：业务系统（数据库）</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lastRenderedPageBreak/>
              <w:t>22</w:t>
            </w:r>
          </w:p>
        </w:tc>
        <w:tc>
          <w:tcPr>
            <w:tcW w:w="992" w:type="dxa"/>
            <w:vMerge w:val="restart"/>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数据</w:t>
            </w:r>
          </w:p>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安全</w:t>
            </w: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数据库账户是否存在过期账户、无关账户</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检查范围：业务系统（数据库）</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r w:rsidR="005144DD" w:rsidRPr="00667024" w:rsidTr="00566A11">
        <w:trPr>
          <w:jc w:val="center"/>
        </w:trPr>
        <w:tc>
          <w:tcPr>
            <w:tcW w:w="704" w:type="dxa"/>
            <w:vAlign w:val="center"/>
          </w:tcPr>
          <w:p w:rsidR="005144DD" w:rsidRPr="00667024" w:rsidRDefault="005144DD" w:rsidP="00566A11">
            <w:pPr>
              <w:autoSpaceDE/>
              <w:autoSpaceDN/>
              <w:jc w:val="center"/>
              <w:rPr>
                <w:rFonts w:ascii="宋体" w:eastAsia="方正仿宋简体" w:hAnsi="宋体"/>
              </w:rPr>
            </w:pPr>
            <w:r w:rsidRPr="00667024">
              <w:rPr>
                <w:rFonts w:ascii="宋体" w:eastAsia="方正仿宋简体" w:hAnsi="宋体" w:hint="eastAsia"/>
              </w:rPr>
              <w:t>23</w:t>
            </w:r>
          </w:p>
        </w:tc>
        <w:tc>
          <w:tcPr>
            <w:tcW w:w="992" w:type="dxa"/>
            <w:vMerge/>
            <w:vAlign w:val="center"/>
          </w:tcPr>
          <w:p w:rsidR="005144DD" w:rsidRPr="00667024" w:rsidRDefault="005144DD" w:rsidP="00566A11">
            <w:pPr>
              <w:autoSpaceDE/>
              <w:autoSpaceDN/>
              <w:jc w:val="both"/>
              <w:rPr>
                <w:rFonts w:ascii="宋体" w:eastAsia="方正仿宋简体" w:hAnsi="宋体"/>
              </w:rPr>
            </w:pPr>
          </w:p>
        </w:tc>
        <w:tc>
          <w:tcPr>
            <w:tcW w:w="538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是否采用密码技术，保证重要数据在传输、存储过程中的保密性、完整性</w:t>
            </w:r>
          </w:p>
        </w:tc>
        <w:tc>
          <w:tcPr>
            <w:tcW w:w="2551" w:type="dxa"/>
            <w:vAlign w:val="center"/>
          </w:tcPr>
          <w:p w:rsidR="005144DD" w:rsidRPr="00667024" w:rsidRDefault="005144DD" w:rsidP="00566A11">
            <w:pPr>
              <w:autoSpaceDE/>
              <w:autoSpaceDN/>
              <w:jc w:val="both"/>
              <w:rPr>
                <w:rFonts w:ascii="宋体" w:eastAsia="方正仿宋简体" w:hAnsi="宋体"/>
              </w:rPr>
            </w:pPr>
          </w:p>
        </w:tc>
        <w:tc>
          <w:tcPr>
            <w:tcW w:w="3397" w:type="dxa"/>
            <w:vAlign w:val="center"/>
          </w:tcPr>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检查范围：业务系统</w:t>
            </w:r>
          </w:p>
          <w:p w:rsidR="005144DD" w:rsidRPr="00667024" w:rsidRDefault="005144DD" w:rsidP="00566A11">
            <w:pPr>
              <w:autoSpaceDE/>
              <w:autoSpaceDN/>
              <w:jc w:val="both"/>
              <w:rPr>
                <w:rFonts w:ascii="宋体" w:eastAsia="方正仿宋简体" w:hAnsi="宋体"/>
              </w:rPr>
            </w:pPr>
            <w:r w:rsidRPr="00667024">
              <w:rPr>
                <w:rFonts w:ascii="宋体" w:eastAsia="方正仿宋简体" w:hAnsi="宋体" w:hint="eastAsia"/>
              </w:rPr>
              <w:t>检查方式：人员访谈、配置核验</w:t>
            </w:r>
          </w:p>
        </w:tc>
      </w:tr>
    </w:tbl>
    <w:p w:rsidR="005144DD" w:rsidRPr="00667024" w:rsidRDefault="005144DD" w:rsidP="005144DD">
      <w:pPr>
        <w:autoSpaceDE/>
        <w:autoSpaceDN/>
        <w:jc w:val="both"/>
        <w:rPr>
          <w:rFonts w:ascii="宋体" w:eastAsia="方正仿宋简体" w:hAnsi="宋体"/>
        </w:rPr>
      </w:pPr>
    </w:p>
    <w:p w:rsidR="008F0FC0" w:rsidRDefault="008F0FC0">
      <w:bookmarkStart w:id="0" w:name="_GoBack"/>
      <w:bookmarkEnd w:id="0"/>
    </w:p>
    <w:sectPr w:rsidR="008F0FC0">
      <w:pgSz w:w="16840" w:h="11910" w:orient="landscape"/>
      <w:pgMar w:top="1587" w:right="2098" w:bottom="158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79" w:rsidRDefault="00004579" w:rsidP="005144DD">
      <w:r>
        <w:separator/>
      </w:r>
    </w:p>
  </w:endnote>
  <w:endnote w:type="continuationSeparator" w:id="0">
    <w:p w:rsidR="00004579" w:rsidRDefault="00004579" w:rsidP="0051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79" w:rsidRDefault="00004579" w:rsidP="005144DD">
      <w:r>
        <w:separator/>
      </w:r>
    </w:p>
  </w:footnote>
  <w:footnote w:type="continuationSeparator" w:id="0">
    <w:p w:rsidR="00004579" w:rsidRDefault="00004579" w:rsidP="0051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5E"/>
    <w:rsid w:val="00004579"/>
    <w:rsid w:val="005144DD"/>
    <w:rsid w:val="008F0FC0"/>
    <w:rsid w:val="00A9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D5F17B-D059-4D4C-82BF-8297D5B9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44DD"/>
    <w:pPr>
      <w:widowControl w:val="0"/>
      <w:autoSpaceDE w:val="0"/>
      <w:autoSpaceDN w:val="0"/>
    </w:pPr>
    <w:rPr>
      <w:rFonts w:ascii="方正仿宋_GBK" w:eastAsia="方正仿宋_GBK" w:hAnsi="方正仿宋_GBK" w:cs="方正仿宋_GBK"/>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4D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5144DD"/>
    <w:rPr>
      <w:sz w:val="18"/>
      <w:szCs w:val="18"/>
    </w:rPr>
  </w:style>
  <w:style w:type="paragraph" w:styleId="a5">
    <w:name w:val="footer"/>
    <w:basedOn w:val="a"/>
    <w:link w:val="a6"/>
    <w:uiPriority w:val="99"/>
    <w:unhideWhenUsed/>
    <w:rsid w:val="005144DD"/>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5144DD"/>
    <w:rPr>
      <w:sz w:val="18"/>
      <w:szCs w:val="18"/>
    </w:rPr>
  </w:style>
  <w:style w:type="table" w:styleId="a7">
    <w:name w:val="Table Grid"/>
    <w:basedOn w:val="a1"/>
    <w:qFormat/>
    <w:rsid w:val="005144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2023-06-02T09:42:00Z</dcterms:created>
  <dcterms:modified xsi:type="dcterms:W3CDTF">2023-06-02T09:42:00Z</dcterms:modified>
</cp:coreProperties>
</file>